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0570</w:t>
      </w:r>
      <w:r>
        <w:rPr>
          <w:rFonts w:ascii="Times New Roman" w:eastAsia="Times New Roman" w:hAnsi="Times New Roman" w:cs="Times New Roman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168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left="5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участии лица, привлекаемого к административной ответственности Архипова Д.С.,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Архипова Дениса Сергеевича </w:t>
      </w:r>
      <w:r>
        <w:rPr>
          <w:rStyle w:val="cat-PassportDatagrp-20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РФ, </w:t>
      </w:r>
      <w:r>
        <w:rPr>
          <w:rStyle w:val="cat-UserDefinedgrp-3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20.21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</w:t>
      </w:r>
      <w:r>
        <w:rPr>
          <w:rFonts w:ascii="Times New Roman" w:eastAsia="Times New Roman" w:hAnsi="Times New Roman" w:cs="Times New Roman"/>
          <w:sz w:val="26"/>
          <w:szCs w:val="26"/>
        </w:rPr>
        <w:t>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 w:firstLine="71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Архипов Д.С.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находился в общественном месте – </w:t>
      </w:r>
      <w:r>
        <w:rPr>
          <w:rFonts w:ascii="Times New Roman" w:eastAsia="Times New Roman" w:hAnsi="Times New Roman" w:cs="Times New Roman"/>
          <w:sz w:val="26"/>
          <w:szCs w:val="26"/>
        </w:rPr>
        <w:t>с торца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улице </w:t>
      </w:r>
      <w:r>
        <w:rPr>
          <w:rFonts w:ascii="Times New Roman" w:eastAsia="Times New Roman" w:hAnsi="Times New Roman" w:cs="Times New Roman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ХМАО – Югра в состоянии опьянения, оскорбляющем человеческое достоинство и общественную нравственность,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передвига</w:t>
      </w:r>
      <w:r>
        <w:rPr>
          <w:rFonts w:ascii="Times New Roman" w:eastAsia="Times New Roman" w:hAnsi="Times New Roman" w:cs="Times New Roman"/>
          <w:sz w:val="26"/>
          <w:szCs w:val="26"/>
        </w:rPr>
        <w:t>лся шатающейся походкой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неустойчивость позы,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заданные вопросы отвечал невнятно, речь была смазан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неопрятный внешний вид (джинсы мокрые, от которых исходи запах мочи),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разговоре </w:t>
      </w:r>
      <w:r>
        <w:rPr>
          <w:rFonts w:ascii="Times New Roman" w:eastAsia="Times New Roman" w:hAnsi="Times New Roman" w:cs="Times New Roman"/>
          <w:sz w:val="26"/>
          <w:szCs w:val="26"/>
        </w:rPr>
        <w:t>от него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исходил резкий запах алкоголя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изо рта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целом внешний вид гр. Архипова Д.С. вызывал отвращение и брезгливость.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Архипов Д.С. вину свою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официально нигде не работает, зарабатывает случайными подработками, оплачива</w:t>
      </w:r>
      <w:r>
        <w:rPr>
          <w:rFonts w:ascii="Times New Roman" w:eastAsia="Times New Roman" w:hAnsi="Times New Roman" w:cs="Times New Roman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штрафы </w:t>
      </w:r>
      <w:r>
        <w:rPr>
          <w:rFonts w:ascii="Times New Roman" w:eastAsia="Times New Roman" w:hAnsi="Times New Roman" w:cs="Times New Roman"/>
          <w:sz w:val="26"/>
          <w:szCs w:val="26"/>
        </w:rPr>
        <w:t>по 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возможности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Архипова Д.С., 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286341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года, с изложенным в нем существом правонарушения, который Архипов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подписал и с фактом совершения правонарушения согласился;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инспектора 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ГУУП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ПДН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личного досмотра, досмотра вещей, находящихся при физическом лице 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 мед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ицинского освидетельствования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из которого следует, что гр-н Архипов Д.С. </w:t>
      </w:r>
      <w:r>
        <w:rPr>
          <w:rFonts w:ascii="Times New Roman" w:eastAsia="Times New Roman" w:hAnsi="Times New Roman" w:cs="Times New Roman"/>
          <w:sz w:val="26"/>
          <w:szCs w:val="26"/>
        </w:rPr>
        <w:t>отказался от медицинского освидетельствования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ст. инспектора НАН ГУУП и ПДН ОП № 3 МОМВД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15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характеристика ст. инспектора НАН ГУУП и ПДН ОП № 3 МОМВД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гражданина Архипова Д.С. к административной ответственности за год, </w:t>
      </w:r>
      <w:r>
        <w:rPr>
          <w:rFonts w:ascii="Times New Roman" w:eastAsia="Times New Roman" w:hAnsi="Times New Roman" w:cs="Times New Roman"/>
          <w:sz w:val="26"/>
          <w:szCs w:val="26"/>
        </w:rPr>
        <w:t>копия паспорта на имя Архипова Д.С.,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считает, что 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Архиповым Д.С.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20.21 Кодекса Российской Федерации об административных правонарушениях: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достоверностью установлена.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в судебном заседании исследована справка на физическое лицо, согласно которой ранее назначенные наказания в виде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Архиповым Д.С. </w:t>
      </w:r>
      <w:r>
        <w:rPr>
          <w:rFonts w:ascii="Times New Roman" w:eastAsia="Times New Roman" w:hAnsi="Times New Roman" w:cs="Times New Roman"/>
          <w:sz w:val="26"/>
          <w:szCs w:val="26"/>
        </w:rPr>
        <w:t>не исполнены.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сводка информации на лицо,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Архипов Д.С.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назначенные наказания в виде административного штрафа не исполняет,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смягчающего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обстоятельства, предусмотренного ст. 4.2 КоАП РФ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Архипову Д.С.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ареста, поскольку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менее строгий вид наказания должного воздействия не оказал, </w:t>
      </w:r>
      <w:r>
        <w:rPr>
          <w:rFonts w:ascii="Times New Roman" w:eastAsia="Times New Roman" w:hAnsi="Times New Roman" w:cs="Times New Roman"/>
          <w:sz w:val="26"/>
          <w:szCs w:val="26"/>
        </w:rPr>
        <w:t>назначенный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Архипову Д.С.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Архипова Дениса Сергеевича 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статьи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20.21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наказания исчислять с момента доставления Архипова Дениса Сергеевича в ИВС ОМВД России по г. Лангепасу.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 до 09 час. 30 мин. 15 февраля 2024 года, а также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доставления Архипова Дениса Сергеевича на судебный участок № 1 Нижневартовского судебного района с 10 часо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00 минут 15 февраля 2024 года до момента доставления в ИВС ОМВД России по г. Лангепасу.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168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ExternalSystemDefinedgrp-28rplc-10">
    <w:name w:val="cat-ExternalSystemDefined grp-28 rplc-10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Addressgrp-4rplc-17">
    <w:name w:val="cat-Address grp-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